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32" w:rsidRDefault="00006732" w:rsidP="00006732">
      <w:pPr>
        <w:shd w:val="clear" w:color="auto" w:fill="FFFFFF"/>
        <w:spacing w:after="150" w:line="420" w:lineRule="atLeast"/>
        <w:outlineLvl w:val="0"/>
        <w:rPr>
          <w:rFonts w:ascii="Arial" w:eastAsia="Times New Roman" w:hAnsi="Arial" w:cs="Arial"/>
          <w:b/>
          <w:bCs/>
          <w:color w:val="9C3041"/>
          <w:kern w:val="36"/>
          <w:sz w:val="28"/>
          <w:szCs w:val="28"/>
        </w:rPr>
      </w:pPr>
      <w:bookmarkStart w:id="0" w:name="_GoBack"/>
      <w:bookmarkEnd w:id="0"/>
      <w:r w:rsidRPr="00006732">
        <w:rPr>
          <w:rFonts w:ascii="Arial" w:eastAsia="Times New Roman" w:hAnsi="Arial" w:cs="Arial"/>
          <w:b/>
          <w:bCs/>
          <w:color w:val="9C3041"/>
          <w:kern w:val="36"/>
          <w:sz w:val="28"/>
          <w:szCs w:val="28"/>
        </w:rPr>
        <w:t>Sentence Structure</w:t>
      </w:r>
    </w:p>
    <w:p w:rsidR="00453872" w:rsidRDefault="00453872" w:rsidP="00453872">
      <w:pPr>
        <w:pStyle w:val="NoSpacing"/>
        <w:rPr>
          <w:rFonts w:ascii="Arial" w:hAnsi="Arial" w:cs="Arial"/>
          <w:color w:val="222222"/>
          <w:shd w:val="clear" w:color="auto" w:fill="FFFFFF"/>
        </w:rPr>
      </w:pPr>
      <w:r w:rsidRPr="00453872">
        <w:rPr>
          <w:b/>
          <w:sz w:val="24"/>
          <w:szCs w:val="24"/>
        </w:rPr>
        <w:t>Loose Sentence</w:t>
      </w:r>
      <w:r w:rsidR="00FA2393">
        <w:rPr>
          <w:b/>
          <w:sz w:val="24"/>
          <w:szCs w:val="24"/>
        </w:rPr>
        <w:t xml:space="preserve">: </w:t>
      </w:r>
      <w:r w:rsidR="00FA2393">
        <w:rPr>
          <w:rFonts w:ascii="Arial" w:hAnsi="Arial" w:cs="Arial"/>
          <w:color w:val="222222"/>
          <w:shd w:val="clear" w:color="auto" w:fill="FFFFFF"/>
        </w:rPr>
        <w:t>(also called a cumulative</w:t>
      </w:r>
      <w:r w:rsidR="00FA2393">
        <w:rPr>
          <w:rStyle w:val="apple-converted-space"/>
          <w:rFonts w:ascii="Arial" w:hAnsi="Arial" w:cs="Arial"/>
          <w:color w:val="222222"/>
          <w:shd w:val="clear" w:color="auto" w:fill="FFFFFF"/>
        </w:rPr>
        <w:t> </w:t>
      </w:r>
      <w:r w:rsidR="00FA2393">
        <w:rPr>
          <w:rFonts w:ascii="Arial" w:hAnsi="Arial" w:cs="Arial"/>
          <w:b/>
          <w:bCs/>
          <w:color w:val="222222"/>
          <w:shd w:val="clear" w:color="auto" w:fill="FFFFFF"/>
        </w:rPr>
        <w:t>sentence</w:t>
      </w:r>
      <w:r w:rsidR="00FA2393">
        <w:rPr>
          <w:rFonts w:ascii="Arial" w:hAnsi="Arial" w:cs="Arial"/>
          <w:color w:val="222222"/>
          <w:shd w:val="clear" w:color="auto" w:fill="FFFFFF"/>
        </w:rPr>
        <w:t>) is a type of</w:t>
      </w:r>
      <w:r w:rsidR="00FA2393">
        <w:rPr>
          <w:rFonts w:ascii="Arial" w:hAnsi="Arial" w:cs="Arial"/>
          <w:color w:val="222222"/>
          <w:shd w:val="clear" w:color="auto" w:fill="FFFFFF"/>
        </w:rPr>
        <w:t xml:space="preserve"> </w:t>
      </w:r>
      <w:r w:rsidR="00FA2393">
        <w:rPr>
          <w:rFonts w:ascii="Arial" w:hAnsi="Arial" w:cs="Arial"/>
          <w:b/>
          <w:bCs/>
          <w:color w:val="222222"/>
          <w:shd w:val="clear" w:color="auto" w:fill="FFFFFF"/>
        </w:rPr>
        <w:t>sentence</w:t>
      </w:r>
      <w:r w:rsidR="00FA2393">
        <w:rPr>
          <w:rStyle w:val="apple-converted-space"/>
          <w:rFonts w:ascii="Arial" w:hAnsi="Arial" w:cs="Arial"/>
          <w:color w:val="222222"/>
          <w:shd w:val="clear" w:color="auto" w:fill="FFFFFF"/>
        </w:rPr>
        <w:t> </w:t>
      </w:r>
      <w:r w:rsidR="00FA2393">
        <w:rPr>
          <w:rFonts w:ascii="Arial" w:hAnsi="Arial" w:cs="Arial"/>
          <w:color w:val="222222"/>
          <w:shd w:val="clear" w:color="auto" w:fill="FFFFFF"/>
        </w:rPr>
        <w:t>in which the main idea (independent clause) is elaborated by the successive addition of modifying clauses or phrases.</w:t>
      </w:r>
    </w:p>
    <w:p w:rsidR="00FA2393" w:rsidRDefault="00FA2393" w:rsidP="00453872">
      <w:pPr>
        <w:pStyle w:val="NoSpacing"/>
        <w:rPr>
          <w:rFonts w:ascii="Arial" w:hAnsi="Arial" w:cs="Arial"/>
          <w:color w:val="222222"/>
          <w:shd w:val="clear" w:color="auto" w:fill="FFFFFF"/>
        </w:rPr>
      </w:pPr>
    </w:p>
    <w:p w:rsidR="00453872" w:rsidRDefault="00FA2393" w:rsidP="00453872">
      <w:pPr>
        <w:pStyle w:val="NoSpacing"/>
        <w:rPr>
          <w:rFonts w:ascii="Arial" w:hAnsi="Arial" w:cs="Arial"/>
          <w:color w:val="222222"/>
          <w:shd w:val="clear" w:color="auto" w:fill="FFFFFF"/>
        </w:rPr>
      </w:pPr>
      <w:r>
        <w:rPr>
          <w:rFonts w:ascii="Arial" w:hAnsi="Arial" w:cs="Arial"/>
          <w:b/>
          <w:color w:val="222222"/>
          <w:shd w:val="clear" w:color="auto" w:fill="FFFFFF"/>
        </w:rPr>
        <w:t>Periodic Sentence:</w:t>
      </w:r>
      <w:r>
        <w:rPr>
          <w:rFonts w:ascii="Arial" w:hAnsi="Arial" w:cs="Arial"/>
          <w:color w:val="222222"/>
          <w:shd w:val="clear" w:color="auto" w:fill="FFFFFF"/>
        </w:rPr>
        <w:t xml:space="preserve"> </w:t>
      </w:r>
      <w:r>
        <w:rPr>
          <w:rFonts w:ascii="Arial" w:hAnsi="Arial" w:cs="Arial"/>
          <w:color w:val="222222"/>
          <w:shd w:val="clear" w:color="auto" w:fill="FFFFFF"/>
        </w:rPr>
        <w:t>has the main clause or predicate at the end. This is used for emphasis and can be persuasive by putting reasons for something at the beginning before the final point is made. It can also create suspense or interest for the reader.</w:t>
      </w:r>
    </w:p>
    <w:p w:rsidR="00316B83" w:rsidRDefault="00316B83" w:rsidP="00453872">
      <w:pPr>
        <w:pStyle w:val="NoSpacing"/>
        <w:rPr>
          <w:rFonts w:ascii="Arial" w:hAnsi="Arial" w:cs="Arial"/>
          <w:color w:val="222222"/>
          <w:shd w:val="clear" w:color="auto" w:fill="FFFFFF"/>
        </w:rPr>
      </w:pPr>
    </w:p>
    <w:p w:rsidR="00316B83" w:rsidRPr="00316B83" w:rsidRDefault="00316B83" w:rsidP="00316B83">
      <w:pPr>
        <w:shd w:val="clear" w:color="auto" w:fill="FFFFFF"/>
        <w:spacing w:after="150" w:line="420" w:lineRule="atLeast"/>
        <w:outlineLvl w:val="0"/>
        <w:rPr>
          <w:rFonts w:ascii="Arial" w:eastAsia="Times New Roman" w:hAnsi="Arial" w:cs="Arial"/>
          <w:b/>
          <w:bCs/>
          <w:color w:val="9C3041"/>
          <w:kern w:val="36"/>
          <w:sz w:val="28"/>
          <w:szCs w:val="28"/>
        </w:rPr>
      </w:pPr>
      <w:r w:rsidRPr="00006732">
        <w:rPr>
          <w:rFonts w:ascii="Arial" w:eastAsia="Times New Roman" w:hAnsi="Arial" w:cs="Arial"/>
          <w:b/>
          <w:bCs/>
          <w:color w:val="9C3041"/>
          <w:kern w:val="36"/>
          <w:sz w:val="28"/>
          <w:szCs w:val="28"/>
        </w:rPr>
        <w:t>7 Patterns of Sentence Structure</w:t>
      </w:r>
    </w:p>
    <w:p w:rsidR="00006732" w:rsidRDefault="00006732" w:rsidP="00006732">
      <w:pPr>
        <w:shd w:val="clear" w:color="auto" w:fill="FFFFFF"/>
        <w:spacing w:after="30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Sentence structure can be categorized into seven patterns: one simple, three compound, two complex, and one compound-complex. Here are examples of each pattern with accompanying formulas, all to help you think of how to craft sentences in a greater variety of syntax:</w:t>
      </w:r>
    </w:p>
    <w:p w:rsidR="00006732" w:rsidRDefault="00006732" w:rsidP="00006732">
      <w:pPr>
        <w:pStyle w:val="NoSpacing"/>
        <w:rPr>
          <w:sz w:val="24"/>
          <w:szCs w:val="24"/>
        </w:rPr>
      </w:pPr>
      <w:r w:rsidRPr="00006732">
        <w:rPr>
          <w:sz w:val="24"/>
          <w:szCs w:val="24"/>
        </w:rPr>
        <w:t>IC=independent clause</w:t>
      </w:r>
      <w:r w:rsidRPr="00006732">
        <w:rPr>
          <w:sz w:val="24"/>
          <w:szCs w:val="24"/>
        </w:rPr>
        <w:tab/>
      </w:r>
      <w:r w:rsidRPr="00006732">
        <w:rPr>
          <w:sz w:val="24"/>
          <w:szCs w:val="24"/>
        </w:rPr>
        <w:tab/>
        <w:t>CC=coordinating conjunct</w:t>
      </w:r>
      <w:r w:rsidRPr="00006732">
        <w:rPr>
          <w:sz w:val="24"/>
          <w:szCs w:val="24"/>
        </w:rPr>
        <w:tab/>
      </w:r>
      <w:r w:rsidRPr="00006732">
        <w:rPr>
          <w:sz w:val="24"/>
          <w:szCs w:val="24"/>
        </w:rPr>
        <w:tab/>
        <w:t>S=semicolon</w:t>
      </w:r>
      <w:r w:rsidRPr="00006732">
        <w:rPr>
          <w:sz w:val="24"/>
          <w:szCs w:val="24"/>
        </w:rPr>
        <w:tab/>
      </w:r>
    </w:p>
    <w:p w:rsidR="00006732" w:rsidRDefault="00006732" w:rsidP="00006732">
      <w:pPr>
        <w:pStyle w:val="NoSpacing"/>
        <w:rPr>
          <w:sz w:val="24"/>
          <w:szCs w:val="24"/>
        </w:rPr>
      </w:pPr>
      <w:r>
        <w:rPr>
          <w:sz w:val="24"/>
          <w:szCs w:val="24"/>
        </w:rPr>
        <w:t>AC=adverbial conjunct</w:t>
      </w:r>
      <w:r>
        <w:rPr>
          <w:sz w:val="24"/>
          <w:szCs w:val="24"/>
        </w:rPr>
        <w:tab/>
      </w:r>
      <w:r>
        <w:rPr>
          <w:sz w:val="24"/>
          <w:szCs w:val="24"/>
        </w:rPr>
        <w:tab/>
        <w:t>DM=dependent marker</w:t>
      </w:r>
      <w:r>
        <w:rPr>
          <w:sz w:val="24"/>
          <w:szCs w:val="24"/>
        </w:rPr>
        <w:tab/>
      </w:r>
      <w:r>
        <w:rPr>
          <w:sz w:val="24"/>
          <w:szCs w:val="24"/>
        </w:rPr>
        <w:tab/>
        <w:t>C=clause</w:t>
      </w:r>
    </w:p>
    <w:p w:rsidR="00006732" w:rsidRDefault="00006732" w:rsidP="00006732">
      <w:pPr>
        <w:pStyle w:val="NoSpacing"/>
        <w:rPr>
          <w:sz w:val="24"/>
          <w:szCs w:val="24"/>
        </w:rPr>
      </w:pPr>
      <w:r>
        <w:rPr>
          <w:sz w:val="24"/>
          <w:szCs w:val="24"/>
        </w:rPr>
        <w:t>RP=relative pronoun</w:t>
      </w:r>
      <w:r>
        <w:rPr>
          <w:sz w:val="24"/>
          <w:szCs w:val="24"/>
        </w:rPr>
        <w:tab/>
      </w:r>
      <w:r>
        <w:rPr>
          <w:sz w:val="24"/>
          <w:szCs w:val="24"/>
        </w:rPr>
        <w:tab/>
      </w:r>
      <w:r>
        <w:rPr>
          <w:sz w:val="24"/>
          <w:szCs w:val="24"/>
        </w:rPr>
        <w:tab/>
        <w:t>DC=dependent clause</w:t>
      </w:r>
    </w:p>
    <w:p w:rsidR="00006732" w:rsidRPr="00006732" w:rsidRDefault="00006732" w:rsidP="00006732">
      <w:pPr>
        <w:pStyle w:val="NoSpacing"/>
        <w:rPr>
          <w:sz w:val="24"/>
          <w:szCs w:val="24"/>
        </w:rPr>
      </w:pPr>
      <w:r w:rsidRPr="00006732">
        <w:rPr>
          <w:sz w:val="24"/>
          <w:szCs w:val="24"/>
        </w:rPr>
        <w:tab/>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1. </w:t>
      </w:r>
      <w:r w:rsidRPr="00006732">
        <w:rPr>
          <w:rFonts w:ascii="Arial" w:eastAsia="Times New Roman" w:hAnsi="Arial" w:cs="Arial"/>
          <w:b/>
          <w:bCs/>
          <w:color w:val="2C3E50"/>
          <w:sz w:val="21"/>
          <w:szCs w:val="21"/>
          <w:bdr w:val="none" w:sz="0" w:space="0" w:color="auto" w:frame="1"/>
        </w:rPr>
        <w:t>Simple sentence</w:t>
      </w:r>
      <w:r w:rsidRPr="00006732">
        <w:rPr>
          <w:rFonts w:ascii="Arial" w:eastAsia="Times New Roman" w:hAnsi="Arial" w:cs="Arial"/>
          <w:color w:val="2C3E50"/>
          <w:sz w:val="21"/>
          <w:szCs w:val="21"/>
        </w:rPr>
        <w:t> (independent clause): “I went for a walk.”</w:t>
      </w:r>
    </w:p>
    <w:p w:rsidR="00006732" w:rsidRPr="00006732" w:rsidRDefault="00006732" w:rsidP="00006732">
      <w:pPr>
        <w:shd w:val="clear" w:color="auto" w:fill="FFFFFF"/>
        <w:spacing w:after="30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(An independent clause is set of words that includes a subject and a predicate. It can be a sentence or part of one. A dependent, or subordinate, clause is one that cannot stand on its own but provides additional information to supplement an independent clause.)</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2.</w:t>
      </w:r>
      <w:r w:rsidRPr="00006732">
        <w:rPr>
          <w:rFonts w:ascii="Arial" w:eastAsia="Times New Roman" w:hAnsi="Arial" w:cs="Arial"/>
          <w:b/>
          <w:bCs/>
          <w:color w:val="2C3E50"/>
          <w:sz w:val="21"/>
          <w:szCs w:val="21"/>
          <w:bdr w:val="none" w:sz="0" w:space="0" w:color="auto" w:frame="1"/>
        </w:rPr>
        <w:t> Compound sentence, IC+CC+IC</w:t>
      </w:r>
      <w:r w:rsidRPr="00006732">
        <w:rPr>
          <w:rFonts w:ascii="Arial" w:eastAsia="Times New Roman" w:hAnsi="Arial" w:cs="Arial"/>
          <w:color w:val="2C3E50"/>
          <w:sz w:val="21"/>
          <w:szCs w:val="21"/>
        </w:rPr>
        <w:t> (independent clause plus</w:t>
      </w:r>
      <w:r w:rsidRPr="00006732">
        <w:rPr>
          <w:rFonts w:ascii="Arial" w:eastAsia="Times New Roman" w:hAnsi="Arial" w:cs="Arial"/>
          <w:b/>
          <w:color w:val="2C3E50"/>
          <w:sz w:val="21"/>
          <w:szCs w:val="21"/>
        </w:rPr>
        <w:t xml:space="preserve"> coordinating conjunction</w:t>
      </w:r>
      <w:r w:rsidRPr="00006732">
        <w:rPr>
          <w:rFonts w:ascii="Arial" w:eastAsia="Times New Roman" w:hAnsi="Arial" w:cs="Arial"/>
          <w:color w:val="2C3E50"/>
          <w:sz w:val="21"/>
          <w:szCs w:val="21"/>
        </w:rPr>
        <w:t xml:space="preserve"> plus independent clause): “I went for a walk, and I was soothed by the gentle night air.”</w:t>
      </w:r>
    </w:p>
    <w:p w:rsid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 xml:space="preserve">(Coordinating conjunctions are words that link one independent clause to another to form a compound sentence. These words can be recalled with the mnemonic </w:t>
      </w:r>
      <w:r w:rsidRPr="00006732">
        <w:rPr>
          <w:rFonts w:ascii="Arial" w:eastAsia="Times New Roman" w:hAnsi="Arial" w:cs="Arial"/>
          <w:b/>
          <w:color w:val="2C3E50"/>
          <w:sz w:val="21"/>
          <w:szCs w:val="21"/>
        </w:rPr>
        <w:t>FANBOYS</w:t>
      </w:r>
      <w:r w:rsidRPr="00006732">
        <w:rPr>
          <w:rFonts w:ascii="Arial" w:eastAsia="Times New Roman" w:hAnsi="Arial" w:cs="Arial"/>
          <w:color w:val="2C3E50"/>
          <w:sz w:val="21"/>
          <w:szCs w:val="21"/>
        </w:rPr>
        <w:t xml:space="preserve"> and include </w:t>
      </w:r>
      <w:r w:rsidRPr="00006732">
        <w:rPr>
          <w:rFonts w:ascii="Arial" w:eastAsia="Times New Roman" w:hAnsi="Arial" w:cs="Arial"/>
          <w:i/>
          <w:iCs/>
          <w:color w:val="2C3E50"/>
          <w:sz w:val="21"/>
          <w:szCs w:val="21"/>
          <w:bdr w:val="none" w:sz="0" w:space="0" w:color="auto" w:frame="1"/>
        </w:rPr>
        <w:t>for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and</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nor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but</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or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yet</w:t>
      </w:r>
      <w:r w:rsidRPr="00006732">
        <w:rPr>
          <w:rFonts w:ascii="Arial" w:eastAsia="Times New Roman" w:hAnsi="Arial" w:cs="Arial"/>
          <w:color w:val="2C3E50"/>
          <w:sz w:val="21"/>
          <w:szCs w:val="21"/>
        </w:rPr>
        <w:t>, and </w:t>
      </w:r>
      <w:r w:rsidRPr="00006732">
        <w:rPr>
          <w:rFonts w:ascii="Arial" w:eastAsia="Times New Roman" w:hAnsi="Arial" w:cs="Arial"/>
          <w:i/>
          <w:iCs/>
          <w:color w:val="2C3E50"/>
          <w:sz w:val="21"/>
          <w:szCs w:val="21"/>
          <w:bdr w:val="none" w:sz="0" w:space="0" w:color="auto" w:frame="1"/>
        </w:rPr>
        <w:t>so</w:t>
      </w:r>
      <w:r w:rsidRPr="00006732">
        <w:rPr>
          <w:rFonts w:ascii="Arial" w:eastAsia="Times New Roman" w:hAnsi="Arial" w:cs="Arial"/>
          <w:color w:val="2C3E50"/>
          <w:sz w:val="21"/>
          <w:szCs w:val="21"/>
        </w:rPr>
        <w:t>.)</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p>
    <w:p w:rsid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3. </w:t>
      </w:r>
      <w:r w:rsidRPr="00006732">
        <w:rPr>
          <w:rFonts w:ascii="Arial" w:eastAsia="Times New Roman" w:hAnsi="Arial" w:cs="Arial"/>
          <w:b/>
          <w:bCs/>
          <w:color w:val="2C3E50"/>
          <w:sz w:val="21"/>
          <w:szCs w:val="21"/>
          <w:bdr w:val="none" w:sz="0" w:space="0" w:color="auto" w:frame="1"/>
        </w:rPr>
        <w:t>Compound sentence, IC+S+IC</w:t>
      </w:r>
      <w:r w:rsidRPr="00006732">
        <w:rPr>
          <w:rFonts w:ascii="Arial" w:eastAsia="Times New Roman" w:hAnsi="Arial" w:cs="Arial"/>
          <w:color w:val="2C3E50"/>
          <w:sz w:val="21"/>
          <w:szCs w:val="21"/>
        </w:rPr>
        <w:t xml:space="preserve"> (independent clause plus </w:t>
      </w:r>
      <w:r w:rsidRPr="00006732">
        <w:rPr>
          <w:rFonts w:ascii="Arial" w:eastAsia="Times New Roman" w:hAnsi="Arial" w:cs="Arial"/>
          <w:b/>
          <w:color w:val="2C3E50"/>
          <w:sz w:val="21"/>
          <w:szCs w:val="21"/>
        </w:rPr>
        <w:t xml:space="preserve">semicolon </w:t>
      </w:r>
      <w:r w:rsidRPr="00006732">
        <w:rPr>
          <w:rFonts w:ascii="Arial" w:eastAsia="Times New Roman" w:hAnsi="Arial" w:cs="Arial"/>
          <w:color w:val="2C3E50"/>
          <w:sz w:val="21"/>
          <w:szCs w:val="21"/>
        </w:rPr>
        <w:t>plus independent clause): “I went for a walk; I was soothed by the gentle night air.”</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4. </w:t>
      </w:r>
      <w:r w:rsidRPr="00006732">
        <w:rPr>
          <w:rFonts w:ascii="Arial" w:eastAsia="Times New Roman" w:hAnsi="Arial" w:cs="Arial"/>
          <w:b/>
          <w:bCs/>
          <w:color w:val="2C3E50"/>
          <w:sz w:val="21"/>
          <w:szCs w:val="21"/>
          <w:bdr w:val="none" w:sz="0" w:space="0" w:color="auto" w:frame="1"/>
        </w:rPr>
        <w:t>Compound sentence, IC+AC+IC </w:t>
      </w:r>
      <w:r w:rsidRPr="00006732">
        <w:rPr>
          <w:rFonts w:ascii="Arial" w:eastAsia="Times New Roman" w:hAnsi="Arial" w:cs="Arial"/>
          <w:color w:val="2C3E50"/>
          <w:sz w:val="21"/>
          <w:szCs w:val="21"/>
        </w:rPr>
        <w:t>(independent clause plus adverbial conjunction plus independent clause): “I went for a walk; consequently, I was soothed by the gentle night air.”</w:t>
      </w:r>
    </w:p>
    <w:p w:rsid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(Adverbial conjunctions are adverbs that serve, when following a semicolon, to link independent clauses. They include </w:t>
      </w:r>
      <w:r w:rsidRPr="00006732">
        <w:rPr>
          <w:rFonts w:ascii="Arial" w:eastAsia="Times New Roman" w:hAnsi="Arial" w:cs="Arial"/>
          <w:i/>
          <w:iCs/>
          <w:color w:val="2C3E50"/>
          <w:sz w:val="21"/>
          <w:szCs w:val="21"/>
          <w:bdr w:val="none" w:sz="0" w:space="0" w:color="auto" w:frame="1"/>
        </w:rPr>
        <w:t>consequently</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however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moreover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nevertheless</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therefore</w:t>
      </w:r>
      <w:r w:rsidRPr="00006732">
        <w:rPr>
          <w:rFonts w:ascii="Arial" w:eastAsia="Times New Roman" w:hAnsi="Arial" w:cs="Arial"/>
          <w:color w:val="2C3E50"/>
          <w:sz w:val="21"/>
          <w:szCs w:val="21"/>
        </w:rPr>
        <w:t>, and </w:t>
      </w:r>
      <w:r w:rsidRPr="00006732">
        <w:rPr>
          <w:rFonts w:ascii="Arial" w:eastAsia="Times New Roman" w:hAnsi="Arial" w:cs="Arial"/>
          <w:i/>
          <w:iCs/>
          <w:color w:val="2C3E50"/>
          <w:sz w:val="21"/>
          <w:szCs w:val="21"/>
          <w:bdr w:val="none" w:sz="0" w:space="0" w:color="auto" w:frame="1"/>
        </w:rPr>
        <w:t>thus</w:t>
      </w:r>
      <w:r w:rsidRPr="00006732">
        <w:rPr>
          <w:rFonts w:ascii="Arial" w:eastAsia="Times New Roman" w:hAnsi="Arial" w:cs="Arial"/>
          <w:color w:val="2C3E50"/>
          <w:sz w:val="21"/>
          <w:szCs w:val="21"/>
        </w:rPr>
        <w:t>.)</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5. </w:t>
      </w:r>
      <w:r w:rsidRPr="00006732">
        <w:rPr>
          <w:rFonts w:ascii="Arial" w:eastAsia="Times New Roman" w:hAnsi="Arial" w:cs="Arial"/>
          <w:b/>
          <w:bCs/>
          <w:color w:val="2C3E50"/>
          <w:sz w:val="21"/>
          <w:szCs w:val="21"/>
          <w:bdr w:val="none" w:sz="0" w:space="0" w:color="auto" w:frame="1"/>
        </w:rPr>
        <w:t>Complex sentence, DM+C+IC</w:t>
      </w:r>
      <w:r w:rsidRPr="00006732">
        <w:rPr>
          <w:rFonts w:ascii="Arial" w:eastAsia="Times New Roman" w:hAnsi="Arial" w:cs="Arial"/>
          <w:color w:val="2C3E50"/>
          <w:sz w:val="21"/>
          <w:szCs w:val="21"/>
        </w:rPr>
        <w:t> (dependent marker plus clause plus independent clause): “Because I hoped to be soothed by the gentle night air, I went for a walk.”</w:t>
      </w:r>
    </w:p>
    <w:p w:rsid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(Dependent markers are words that provide a relative context for a subordinate clause. They include </w:t>
      </w:r>
      <w:proofErr w:type="spellStart"/>
      <w:proofErr w:type="gramStart"/>
      <w:r w:rsidRPr="00006732">
        <w:rPr>
          <w:rFonts w:ascii="Arial" w:eastAsia="Times New Roman" w:hAnsi="Arial" w:cs="Arial"/>
          <w:i/>
          <w:iCs/>
          <w:color w:val="2C3E50"/>
          <w:sz w:val="21"/>
          <w:szCs w:val="21"/>
          <w:bdr w:val="none" w:sz="0" w:space="0" w:color="auto" w:frame="1"/>
        </w:rPr>
        <w:t>after</w:t>
      </w:r>
      <w:r w:rsidRPr="00006732">
        <w:rPr>
          <w:rFonts w:ascii="Arial" w:eastAsia="Times New Roman" w:hAnsi="Arial" w:cs="Arial"/>
          <w:color w:val="2C3E50"/>
          <w:sz w:val="21"/>
          <w:szCs w:val="21"/>
        </w:rPr>
        <w:t>,</w:t>
      </w:r>
      <w:r w:rsidRPr="00006732">
        <w:rPr>
          <w:rFonts w:ascii="Arial" w:eastAsia="Times New Roman" w:hAnsi="Arial" w:cs="Arial"/>
          <w:i/>
          <w:iCs/>
          <w:color w:val="2C3E50"/>
          <w:sz w:val="21"/>
          <w:szCs w:val="21"/>
          <w:bdr w:val="none" w:sz="0" w:space="0" w:color="auto" w:frame="1"/>
        </w:rPr>
        <w:t>although</w:t>
      </w:r>
      <w:proofErr w:type="spellEnd"/>
      <w:proofErr w:type="gramEnd"/>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as</w:t>
      </w:r>
      <w:r w:rsidRPr="00006732">
        <w:rPr>
          <w:rFonts w:ascii="Arial" w:eastAsia="Times New Roman" w:hAnsi="Arial" w:cs="Arial"/>
          <w:color w:val="2C3E50"/>
          <w:sz w:val="21"/>
          <w:szCs w:val="21"/>
        </w:rPr>
        <w:t>, “as if,” </w:t>
      </w:r>
      <w:r w:rsidRPr="00006732">
        <w:rPr>
          <w:rFonts w:ascii="Arial" w:eastAsia="Times New Roman" w:hAnsi="Arial" w:cs="Arial"/>
          <w:i/>
          <w:iCs/>
          <w:color w:val="2C3E50"/>
          <w:sz w:val="21"/>
          <w:szCs w:val="21"/>
          <w:bdr w:val="none" w:sz="0" w:space="0" w:color="auto" w:frame="1"/>
        </w:rPr>
        <w:t>because</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before</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if</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since</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though</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until</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when</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where</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whether</w:t>
      </w:r>
      <w:r w:rsidRPr="00006732">
        <w:rPr>
          <w:rFonts w:ascii="Arial" w:eastAsia="Times New Roman" w:hAnsi="Arial" w:cs="Arial"/>
          <w:color w:val="2C3E50"/>
          <w:sz w:val="21"/>
          <w:szCs w:val="21"/>
        </w:rPr>
        <w:t>, and </w:t>
      </w:r>
      <w:r w:rsidRPr="00006732">
        <w:rPr>
          <w:rFonts w:ascii="Arial" w:eastAsia="Times New Roman" w:hAnsi="Arial" w:cs="Arial"/>
          <w:i/>
          <w:iCs/>
          <w:color w:val="2C3E50"/>
          <w:sz w:val="21"/>
          <w:szCs w:val="21"/>
          <w:bdr w:val="none" w:sz="0" w:space="0" w:color="auto" w:frame="1"/>
        </w:rPr>
        <w:t>while</w:t>
      </w:r>
      <w:r w:rsidRPr="00006732">
        <w:rPr>
          <w:rFonts w:ascii="Arial" w:eastAsia="Times New Roman" w:hAnsi="Arial" w:cs="Arial"/>
          <w:color w:val="2C3E50"/>
          <w:sz w:val="21"/>
          <w:szCs w:val="21"/>
        </w:rPr>
        <w:t>.)</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6. </w:t>
      </w:r>
      <w:r w:rsidRPr="00006732">
        <w:rPr>
          <w:rFonts w:ascii="Arial" w:eastAsia="Times New Roman" w:hAnsi="Arial" w:cs="Arial"/>
          <w:b/>
          <w:bCs/>
          <w:color w:val="2C3E50"/>
          <w:sz w:val="21"/>
          <w:szCs w:val="21"/>
          <w:bdr w:val="none" w:sz="0" w:space="0" w:color="auto" w:frame="1"/>
        </w:rPr>
        <w:t>Complex sentence, RP+C</w:t>
      </w:r>
      <w:r w:rsidRPr="00006732">
        <w:rPr>
          <w:rFonts w:ascii="Arial" w:eastAsia="Times New Roman" w:hAnsi="Arial" w:cs="Arial"/>
          <w:color w:val="2C3E50"/>
          <w:sz w:val="21"/>
          <w:szCs w:val="21"/>
        </w:rPr>
        <w:t> (relative pronoun plus clause): “Whatever doubts I had about taking a walk dissipated when I was soothed by the gentle night air.”</w:t>
      </w:r>
    </w:p>
    <w:p w:rsid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(Relative pronouns are pronouns that relate a subordinate clause to the noun it modifies. They include</w:t>
      </w:r>
      <w:r w:rsidRPr="00006732">
        <w:rPr>
          <w:rFonts w:ascii="Arial" w:eastAsia="Times New Roman" w:hAnsi="Arial" w:cs="Arial"/>
          <w:i/>
          <w:iCs/>
          <w:color w:val="2C3E50"/>
          <w:sz w:val="21"/>
          <w:szCs w:val="21"/>
          <w:bdr w:val="none" w:sz="0" w:space="0" w:color="auto" w:frame="1"/>
        </w:rPr>
        <w:t>who</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whom</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whose</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whoever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whosoever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whomever</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which</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what</w:t>
      </w:r>
      <w:r w:rsidRPr="00006732">
        <w:rPr>
          <w:rFonts w:ascii="Arial" w:eastAsia="Times New Roman" w:hAnsi="Arial" w:cs="Arial"/>
          <w:color w:val="2C3E50"/>
          <w:sz w:val="21"/>
          <w:szCs w:val="21"/>
        </w:rPr>
        <w:t>, </w:t>
      </w:r>
      <w:r w:rsidRPr="00006732">
        <w:rPr>
          <w:rFonts w:ascii="Arial" w:eastAsia="Times New Roman" w:hAnsi="Arial" w:cs="Arial"/>
          <w:i/>
          <w:iCs/>
          <w:color w:val="2C3E50"/>
          <w:sz w:val="21"/>
          <w:szCs w:val="21"/>
          <w:bdr w:val="none" w:sz="0" w:space="0" w:color="auto" w:frame="1"/>
        </w:rPr>
        <w:t>whatever</w:t>
      </w:r>
      <w:r w:rsidRPr="00006732">
        <w:rPr>
          <w:rFonts w:ascii="Arial" w:eastAsia="Times New Roman" w:hAnsi="Arial" w:cs="Arial"/>
          <w:color w:val="2C3E50"/>
          <w:sz w:val="21"/>
          <w:szCs w:val="21"/>
        </w:rPr>
        <w:t>, and sometimes </w:t>
      </w:r>
      <w:r w:rsidRPr="00006732">
        <w:rPr>
          <w:rFonts w:ascii="Arial" w:eastAsia="Times New Roman" w:hAnsi="Arial" w:cs="Arial"/>
          <w:i/>
          <w:iCs/>
          <w:color w:val="2C3E50"/>
          <w:sz w:val="21"/>
          <w:szCs w:val="21"/>
          <w:bdr w:val="none" w:sz="0" w:space="0" w:color="auto" w:frame="1"/>
        </w:rPr>
        <w:t>that</w:t>
      </w:r>
      <w:r w:rsidRPr="00006732">
        <w:rPr>
          <w:rFonts w:ascii="Arial" w:eastAsia="Times New Roman" w:hAnsi="Arial" w:cs="Arial"/>
          <w:color w:val="2C3E50"/>
          <w:sz w:val="21"/>
          <w:szCs w:val="21"/>
        </w:rPr>
        <w:t>.)</w:t>
      </w: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p>
    <w:p w:rsidR="00006732" w:rsidRPr="00006732" w:rsidRDefault="00006732" w:rsidP="00006732">
      <w:pPr>
        <w:shd w:val="clear" w:color="auto" w:fill="FFFFFF"/>
        <w:spacing w:after="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7. </w:t>
      </w:r>
      <w:r w:rsidRPr="00006732">
        <w:rPr>
          <w:rFonts w:ascii="Arial" w:eastAsia="Times New Roman" w:hAnsi="Arial" w:cs="Arial"/>
          <w:b/>
          <w:bCs/>
          <w:color w:val="2C3E50"/>
          <w:sz w:val="21"/>
          <w:szCs w:val="21"/>
          <w:bdr w:val="none" w:sz="0" w:space="0" w:color="auto" w:frame="1"/>
        </w:rPr>
        <w:t>Compound-complex sentence, DC+IC+CC+IC </w:t>
      </w:r>
      <w:r w:rsidRPr="00006732">
        <w:rPr>
          <w:rFonts w:ascii="Arial" w:eastAsia="Times New Roman" w:hAnsi="Arial" w:cs="Arial"/>
          <w:color w:val="2C3E50"/>
          <w:sz w:val="21"/>
          <w:szCs w:val="21"/>
        </w:rPr>
        <w:t>(dependent clause plus independent clause plus coordinating conjunction plus independent clause): “As I headed out for a walk, my doubts about doing so dissipated, and I was soothed by the gentle night air.”</w:t>
      </w:r>
    </w:p>
    <w:p w:rsidR="00006732" w:rsidRPr="00006732" w:rsidRDefault="00006732" w:rsidP="00006732">
      <w:pPr>
        <w:shd w:val="clear" w:color="auto" w:fill="FFFFFF"/>
        <w:spacing w:after="300" w:line="300" w:lineRule="atLeast"/>
        <w:rPr>
          <w:rFonts w:ascii="Arial" w:eastAsia="Times New Roman" w:hAnsi="Arial" w:cs="Arial"/>
          <w:color w:val="2C3E50"/>
          <w:sz w:val="21"/>
          <w:szCs w:val="21"/>
        </w:rPr>
      </w:pPr>
      <w:r w:rsidRPr="00006732">
        <w:rPr>
          <w:rFonts w:ascii="Arial" w:eastAsia="Times New Roman" w:hAnsi="Arial" w:cs="Arial"/>
          <w:color w:val="2C3E50"/>
          <w:sz w:val="21"/>
          <w:szCs w:val="21"/>
        </w:rPr>
        <w:t>There are, of course, many variations to these patterns; even a simple sentence, for instance, can begin with the object in the example converted to the subject of another simple sentence: “A walk was my next order of business.”</w:t>
      </w:r>
    </w:p>
    <w:p w:rsidR="00102D57" w:rsidRDefault="00102D57"/>
    <w:sectPr w:rsidR="0010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32"/>
    <w:rsid w:val="00006732"/>
    <w:rsid w:val="00102D57"/>
    <w:rsid w:val="00316B83"/>
    <w:rsid w:val="00453872"/>
    <w:rsid w:val="00FA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9189"/>
  <w15:chartTrackingRefBased/>
  <w15:docId w15:val="{51E87369-C479-4331-A365-9E79D1F9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32"/>
    <w:pPr>
      <w:spacing w:after="0" w:line="240" w:lineRule="auto"/>
    </w:pPr>
  </w:style>
  <w:style w:type="character" w:customStyle="1" w:styleId="apple-converted-space">
    <w:name w:val="apple-converted-space"/>
    <w:basedOn w:val="DefaultParagraphFont"/>
    <w:rsid w:val="00FA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30432">
      <w:bodyDiv w:val="1"/>
      <w:marLeft w:val="0"/>
      <w:marRight w:val="0"/>
      <w:marTop w:val="0"/>
      <w:marBottom w:val="0"/>
      <w:divBdr>
        <w:top w:val="none" w:sz="0" w:space="0" w:color="auto"/>
        <w:left w:val="none" w:sz="0" w:space="0" w:color="auto"/>
        <w:bottom w:val="none" w:sz="0" w:space="0" w:color="auto"/>
        <w:right w:val="none" w:sz="0" w:space="0" w:color="auto"/>
      </w:divBdr>
      <w:divsChild>
        <w:div w:id="21020188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2</cp:revision>
  <dcterms:created xsi:type="dcterms:W3CDTF">2016-05-08T20:46:00Z</dcterms:created>
  <dcterms:modified xsi:type="dcterms:W3CDTF">2016-05-08T21:11:00Z</dcterms:modified>
</cp:coreProperties>
</file>